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573" w:rsidRPr="00AB213A" w:rsidRDefault="00AB213A">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AB213A">
        <w:rPr>
          <w:rFonts w:ascii="方正小标宋_GBK" w:eastAsia="方正小标宋_GBK" w:hAnsi="微软雅黑" w:cs="微软雅黑"/>
          <w:color w:val="333333"/>
          <w:shd w:val="clear" w:color="auto" w:fill="FFFFFF"/>
        </w:rPr>
        <w:t>企业会计准则第</w:t>
      </w:r>
      <w:r w:rsidRPr="00AB213A">
        <w:rPr>
          <w:rFonts w:ascii="方正小标宋_GBK" w:eastAsia="方正小标宋_GBK" w:hAnsi="微软雅黑" w:cs="微软雅黑"/>
          <w:color w:val="333333"/>
          <w:shd w:val="clear" w:color="auto" w:fill="FFFFFF"/>
        </w:rPr>
        <w:t>27</w:t>
      </w:r>
      <w:r w:rsidRPr="00AB213A">
        <w:rPr>
          <w:rFonts w:ascii="方正小标宋_GBK" w:eastAsia="方正小标宋_GBK" w:hAnsi="微软雅黑" w:cs="微软雅黑"/>
          <w:color w:val="333333"/>
          <w:shd w:val="clear" w:color="auto" w:fill="FFFFFF"/>
        </w:rPr>
        <w:t>号——石油天然气开采</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bookmarkStart w:id="0" w:name="_GoBack"/>
      <w:bookmarkEnd w:id="0"/>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为了规范石油天然气（以下简称油气）开采活动的会计处理和相关信息的披露，根据《企业会计准则——基本准则》，制定本准则。</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油气开采活动包括矿区权益的取得以及油气的勘探、开发和生产等阶段。</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油气开采活动以外的油气储存、集输、加工和销售等业务的会计处理，适用其他相关会计准则。</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矿区权益的会计处理</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矿区权益，是指企业取得的在矿区内勘探、开发和生产油气的权利。</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矿区权益分为探明矿区权益和未探明矿区权益。探明矿区，是指已发现探明经济可采储量的矿区；未探明矿区，是指未发现探明经济可采储量的矿区。</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探明经济可采储量，是指在现有技术和经济条件下，根据地质和工程分析，可合理确定的能够从已知油气藏中开采的油气数量。</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为取得矿区权益而发生的成本应当在发生时予以资本化。企业取得的矿区权益，应当按照取得时的成本进行初始计量：</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（一）申请取得矿区权益的成本包括探矿权使用费、采矿权使用费、土地或海域使用权支出、中介费以及可直接归属于矿区权益的其他申请取得</w:t>
      </w:r>
      <w:r>
        <w:rPr>
          <w:rFonts w:ascii="宋体" w:eastAsia="宋体" w:hAnsi="宋体" w:cs="宋体" w:hint="eastAsia"/>
          <w:color w:val="333333"/>
          <w:szCs w:val="24"/>
          <w:shd w:val="clear" w:color="auto" w:fill="FFFFFF"/>
        </w:rPr>
        <w:t>支出。</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（二）购买取得矿区权益的成本包括购买价款、中介费以及可直接归属于矿区权益的其他购买取得支出。</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矿区权益取得后发生的探矿权使用费、采矿权使用费和租金等维持矿区权益的支出，应当计入当期损益。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采用产量法或年限平均法对探明矿区权益计提折耗。采用产量法计提折耗的，折耗额可按照单个矿区计算，也可按照若干具有相同或类似地质构造特征或储层条件的相邻矿区所组成的矿区组计算。计算公式如下：</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探明矿区权益折耗额</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探明矿区权益账面价值×探明矿区权益折耗率</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探明矿区权益折耗率</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探明矿区当期产量</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（探明矿区期末探明经济可采储量</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探明矿区当期产量）</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企业对于矿区权益的减值，应当分别不同情况确认减值损失：</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（一）探明矿区权益的减值，按照《企业会计准则第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号——资产减值》处理。</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二）对于未探明矿区权益，应当至少每年进行一次减值测试。单个矿区取得成本较大的，应当以单个矿区为基础进行减值测试，并确定未探明矿区权益减值金额。单个矿区取得成本较小且与其他相邻矿区具有相同或类似地质构造特征或储层条件的，可按照若干具有相同或类似地质构造特征或储层条件的相邻矿区所组成的矿区组进行减值测试。</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未探明矿区权益公允价值低于账面价值的差额，应当确认为减值损失，计入当期损益。未探明矿区权益减值损失一经确认，不得转回。</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企业转让矿区权益的，应当按照下列规定进行处理：</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w:t>
      </w:r>
      <w:r>
        <w:rPr>
          <w:rFonts w:ascii="宋体" w:eastAsia="宋体" w:hAnsi="宋体" w:cs="宋体" w:hint="eastAsia"/>
          <w:color w:val="333333"/>
          <w:szCs w:val="24"/>
          <w:shd w:val="clear" w:color="auto" w:fill="FFFFFF"/>
        </w:rPr>
        <w:t>转让全部探明矿区权益的，将转让所得与矿区权益账面价值的差额计入当期损益。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转让部分探明矿区权益的，按照转让权益和保留权益的公允价值比例，计算确定已转让部分矿区权益账面价值，转让所得与已转让矿区权益账面价值的差额计入当期损益。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（二）转让单独计提减值准备的全部未探明矿区权益的，转让所得与未探明矿区权益账面价值的差额，计入当期损益。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转让单独计提减值准备的部分未探明矿区权益的，如果转让所得大于矿区权益账面价值，将其差额计入当期损益；如果转让所得小于矿区权益账面价值，以转让所得冲减矿区权益账面价值，不确认损益。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转让以矿区组为基础计提减值准备的未探明矿区权益的，如果转让所得大于矿区权益账面原值，将其差额计入当期损益；如果转让所得小于矿区权益账面原值，以转让所得冲减矿区权益账面原值，不确认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转让该矿区组最后一个未探明矿区的剩余矿区权益时，转让所得与未探明矿区权益账面价值的差额，计入当期损益。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未探</w:t>
      </w:r>
      <w:r>
        <w:rPr>
          <w:rFonts w:ascii="宋体" w:eastAsia="宋体" w:hAnsi="宋体" w:cs="宋体" w:hint="eastAsia"/>
          <w:color w:val="333333"/>
          <w:szCs w:val="24"/>
          <w:shd w:val="clear" w:color="auto" w:fill="FFFFFF"/>
        </w:rPr>
        <w:t>明矿区（组）内发现探明经济可采储量而将未探明矿区（组）转为探明矿区（组）的，应当按照其账面价值转为探明矿区权益。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未探明矿区因最终未能发现探明经济可采储量而放弃的，应当按照放弃时的账面价值转销未探明矿区权益并计入当期损益。因未完成义务工作量等因素导致发生的放弃成本，计入当期损益。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油气勘探的会计处理</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油气勘探，是指为了识别勘探区域或探明油气储量而进行的地质调查、地球物理勘探、钻探活动以及其他相关活动。</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油气勘探支出包括钻井勘探支出和</w:t>
      </w:r>
      <w:r>
        <w:rPr>
          <w:rFonts w:ascii="宋体" w:eastAsia="宋体" w:hAnsi="宋体" w:cs="宋体" w:hint="eastAsia"/>
          <w:color w:val="333333"/>
          <w:szCs w:val="24"/>
          <w:shd w:val="clear" w:color="auto" w:fill="FFFFFF"/>
        </w:rPr>
        <w:t>非钻井勘探支出。钻井勘探支出主要包括钻探区域探井、勘探型详探井、评价井和资料井等活动发生的支出；非钻井勘探支出主要包括进行地质调查、地球物理勘探等活动发生的支出。</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钻井勘探支出在完井后，确定该井发现了探明经济可采储量的，应当将钻探该井的支出结转为井及相关设施成本。</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确定该井未发现探明经济可采储量的，应当将钻探该井的支出扣除净残值后计入当期损益。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确定部分井段发现了探明经济可采储量的，应当将发现探明经济可采储量的有效井段的钻井勘探支出结转为井及相关设施成本，无效井段钻井勘探累计支</w:t>
      </w:r>
      <w:r>
        <w:rPr>
          <w:rFonts w:ascii="宋体" w:eastAsia="宋体" w:hAnsi="宋体" w:cs="宋体" w:hint="eastAsia"/>
          <w:color w:val="333333"/>
          <w:szCs w:val="24"/>
          <w:shd w:val="clear" w:color="auto" w:fill="FFFFFF"/>
        </w:rPr>
        <w:t>出转入当期损益。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未能确定该探井是否发现探明经济可采储量的，应当在完井后一年内将钻探该井的支出予以暂时资本化。</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在完井一年时仍未能确定该探井是否发现探明经济可采储量，同时满足下列条件的，应当将钻探该井的资本化支出继续暂时资本化，否则应当计入当期损益：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（一）该井已发现足够数量的储量，但要确定其是否属于探明经济可采储量，还需要实施进一步的勘探活动；</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（二）进一步的勘探活动已在实施中或已有明确计划并即将实施。</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钻井勘探支出已费用化的探井又发现了探明经济可采储量的，已费用</w:t>
      </w:r>
      <w:r>
        <w:rPr>
          <w:rFonts w:ascii="宋体" w:eastAsia="宋体" w:hAnsi="宋体" w:cs="宋体" w:hint="eastAsia"/>
          <w:color w:val="333333"/>
          <w:szCs w:val="24"/>
          <w:shd w:val="clear" w:color="auto" w:fill="FFFFFF"/>
        </w:rPr>
        <w:t>化的钻井勘探支出不作调整，重新钻探和完井发生的支出应当予以资本化。</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非钻井勘探支出于发生时计入当期损益。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油气开发的会计处理</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油气开发，是指为了取得探明矿区中的油气而建造或更新井及相关设施的活动。</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油气开发活动所发生的支出，应当根据其用途分别予以资本化，作为油气开发形成的井及相关设施的成本。</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油气开发形成的井及相关设施的成本主要包括：</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（一）钻前准备支出，包括前期研究、工程地质调查、工程设计、确定井位、清理井场、修建道</w:t>
      </w:r>
      <w:r>
        <w:rPr>
          <w:rFonts w:ascii="宋体" w:eastAsia="宋体" w:hAnsi="宋体" w:cs="宋体" w:hint="eastAsia"/>
          <w:color w:val="333333"/>
          <w:szCs w:val="24"/>
          <w:shd w:val="clear" w:color="auto" w:fill="FFFFFF"/>
        </w:rPr>
        <w:t>路等活动发生的支出；</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（二）井的设备购置和建造支出，井的设备包括套管、油管、抽油设备和井口装置等，井的建造包括钻井和完井；</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（三）购建提高采收率系统发生的支出；</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（四）购建矿区内集输设施、分离处理设施、计量设备、储存设施、各种海上平台、海底及陆上电缆等发生的支出。</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在探明矿区内，钻井至现有已探明层位的支出，作为油气开发支出；为获取新增探明经济可采储量而继续钻至未探明层位的支出，作为钻井勘探支出，按照本准则第十三条和第十四条处理。</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第五章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油气生产的会计处理</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油气生产，是指将油气从油气藏提取到地表以及在矿区内收集、拉运、处理、现场储存和矿区管理等活动。</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油气的生产成本包括相关矿区权益折耗、井及相关设施折耗、辅助设备及设施折旧以及操作费用等。操作费用包括油气生产和矿区管理过程中发生的直接和间接费用。</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采用产量法或年限平均法对井及相关设施计提折耗。井及相关设施包括确定发现了探明经济可采储量的探井和开采活动中形成的井，以及与开采活动直接相关的各种设施。采用产量法计提折耗的，折耗额可按照单个矿区计算，也</w:t>
      </w:r>
      <w:r>
        <w:rPr>
          <w:rFonts w:ascii="宋体" w:eastAsia="宋体" w:hAnsi="宋体" w:cs="宋体" w:hint="eastAsia"/>
          <w:color w:val="333333"/>
          <w:szCs w:val="24"/>
          <w:shd w:val="clear" w:color="auto" w:fill="FFFFFF"/>
        </w:rPr>
        <w:t>可按照若干具有相同或类似地质构造特征或储层条件的相邻矿区所组成的矿区组计算。计算公式如下：</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矿区井及相关设施折耗额</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期末矿区井及相关设施账面价值×矿区井及相关设施折耗率</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矿区井及相关设施折耗率</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矿区当期产量</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（矿区期末探明已开发经济可采储量</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矿区当期产量）</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探明已开发经济可采储量，包括矿区的开发井网钻探和配套设施建设完成后已全面投入开采的探明经济可采储量，以及在提高采收率技术所需的设施已建成并已投产后相应增加的可采储量。</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地震设备、建造设备、车辆、修理车间、仓库、供应站</w:t>
      </w:r>
      <w:r>
        <w:rPr>
          <w:rFonts w:ascii="宋体" w:eastAsia="宋体" w:hAnsi="宋体" w:cs="宋体" w:hint="eastAsia"/>
          <w:color w:val="333333"/>
          <w:szCs w:val="24"/>
          <w:shd w:val="clear" w:color="auto" w:fill="FFFFFF"/>
        </w:rPr>
        <w:t>、通讯设备、办公设施等辅助设备及设施，应当按照《企业会计准则第</w:t>
      </w:r>
      <w:r>
        <w:rPr>
          <w:rFonts w:ascii="宋体" w:eastAsia="宋体" w:hAnsi="宋体" w:cs="宋体" w:hint="eastAsia"/>
          <w:color w:val="333333"/>
          <w:szCs w:val="24"/>
          <w:shd w:val="clear" w:color="auto" w:fill="FFFFFF"/>
        </w:rPr>
        <w:t>4</w:t>
      </w:r>
      <w:r>
        <w:rPr>
          <w:rFonts w:ascii="宋体" w:eastAsia="宋体" w:hAnsi="宋体" w:cs="宋体" w:hint="eastAsia"/>
          <w:color w:val="333333"/>
          <w:szCs w:val="24"/>
          <w:shd w:val="clear" w:color="auto" w:fill="FFFFFF"/>
        </w:rPr>
        <w:t>号——固定资产》处理。</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企业承担的矿区废弃处置义务，满足《企业会计准则第</w:t>
      </w:r>
      <w:r>
        <w:rPr>
          <w:rFonts w:ascii="宋体" w:eastAsia="宋体" w:hAnsi="宋体" w:cs="宋体" w:hint="eastAsia"/>
          <w:color w:val="333333"/>
          <w:szCs w:val="24"/>
          <w:shd w:val="clear" w:color="auto" w:fill="FFFFFF"/>
        </w:rPr>
        <w:t>13</w:t>
      </w:r>
      <w:r>
        <w:rPr>
          <w:rFonts w:ascii="宋体" w:eastAsia="宋体" w:hAnsi="宋体" w:cs="宋体" w:hint="eastAsia"/>
          <w:color w:val="333333"/>
          <w:szCs w:val="24"/>
          <w:shd w:val="clear" w:color="auto" w:fill="FFFFFF"/>
        </w:rPr>
        <w:t>号——或有事项》中预计负债确认条件的，应当将该义务确认为预计负债，并相应增加井及相关设施的账面价值。</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不符合预计负债确认条件的，在废弃时发生的拆卸、搬移、场地清理等支出，应当计入当期损益。</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矿区废弃，是指矿区内的最后一口井停产。</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井及相关设施、辅助设备及设施的减值，应当按照《企业会计准则第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号——资产减值》处理。</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第六章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披露</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企业应当在附注中披露与石油天然气开采活动有关的下列信息：</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（一）拥有国内和国外的油气储量年初、年末数据。</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（二）当期在国内和国外发生的矿区权益的取得、油气勘探和油气开发各项支出的总额。</w:t>
      </w:r>
      <w:r>
        <w:rPr>
          <w:rFonts w:ascii="宋体" w:eastAsia="宋体" w:hAnsi="宋体" w:cs="宋体" w:hint="eastAsia"/>
          <w:color w:val="333333"/>
          <w:szCs w:val="24"/>
          <w:shd w:val="clear" w:color="auto" w:fill="FFFFFF"/>
        </w:rPr>
        <w:t> </w:t>
      </w:r>
    </w:p>
    <w:p w:rsidR="00685573" w:rsidRDefault="00AB213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（三）探明矿区权益、井及相关设施的账面原值，累计折耗和减值准备累计金额及其计提方法；与油气开采活动相关的辅助设备及设施的账面原价，累计折旧和减值准备累计金额及其计提方法。</w:t>
      </w:r>
      <w:r>
        <w:rPr>
          <w:rFonts w:ascii="宋体" w:eastAsia="宋体" w:hAnsi="宋体" w:cs="宋体" w:hint="eastAsia"/>
          <w:color w:val="333333"/>
          <w:szCs w:val="24"/>
          <w:shd w:val="clear" w:color="auto" w:fill="FFFFFF"/>
        </w:rPr>
        <w:t> </w:t>
      </w:r>
    </w:p>
    <w:p w:rsidR="00685573" w:rsidRDefault="00685573"/>
    <w:sectPr w:rsidR="006855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685573"/>
    <w:rsid w:val="00AB213A"/>
    <w:rsid w:val="00C301AA"/>
    <w:rsid w:val="0D447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570</Words>
  <Characters>3254</Characters>
  <Application>Microsoft Office Word</Application>
  <DocSecurity>0</DocSecurity>
  <Lines>27</Lines>
  <Paragraphs>7</Paragraphs>
  <ScaleCrop>false</ScaleCrop>
  <Company/>
  <LinksUpToDate>false</LinksUpToDate>
  <CharactersWithSpaces>3817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BDC63497189742E0B921B14BDE6FDEA3</vt:lpwstr>
  </property>
</Properties>
</file>